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Balthasar Luzius Hug</w:t>
      </w:r>
    </w:p>
    <w:p>
      <w:pPr>
        <w:spacing w:after="240" w:line="240" w:lineRule="atLeast"/>
      </w:pPr>
      <w:r>
        <w:t xml:space="preserve">ORCID: 0000-0003-4235-1995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Arpagaus, A., Arpagaus, L., Bisegger, C., Grossenbacher, S., Gossi, F., Bissmann, B., … Hunziker, S. (2025). Checklist-Guided Code Status Discussions in Patients for Whom Cardiopulmonary Resuscitation Is Considered Futile: An Analysis of a Randomized Clinical Trial: JAMA Netw Open. </w:t>
      </w:r>
      <w:r>
        <w:rPr>
          <w:i w:val="1"/>
          <w:iCs w:val="1"/>
        </w:rPr>
        <w:t xml:space="preserve">JAMA Netw Open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(9), e2533638 ff. https://doi.org/10.1001/jamanetworkopen.2025.33638</w:t>
      </w:r>
    </w:p>
    <w:p>
      <w:pPr>
        <w:spacing w:after="240" w:line="240" w:lineRule="atLeast"/>
      </w:pPr>
      <w:r>
        <w:rPr/>
        <w:t xml:space="preserve">Zumbrunn, K., Bissmann, B., Grossenbacher, S., Bisegger, C., Arpagaus, A., Gossi, F., … Hug, B. L. (2025). Good Outcome Following Attempted Resuscitation Score and Clinical Frailty Scale for Estimating Long-Term Mortality: An Ancillary Study of the CLEAR Randomized Clinical Trial: JAMA Netw Open. </w:t>
      </w:r>
      <w:r>
        <w:rPr>
          <w:i w:val="1"/>
          <w:iCs w:val="1"/>
        </w:rPr>
        <w:t xml:space="preserve">JAMA Netw Open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(9), e2534690 ff. https://doi.org/10.1001/jamanetworkopen.2025.34690</w:t>
      </w:r>
    </w:p>
    <w:p>
      <w:pPr>
        <w:spacing w:after="240" w:line="240" w:lineRule="atLeast"/>
      </w:pPr>
      <w:r>
        <w:rPr/>
        <w:t xml:space="preserve">Pfister-Meyer, H., Tinner, C., Sieber, C., Lehnick, D., &amp; Hug, B. L. (2025). SGLT2 inhibitors and their influence on iron metabolism in the context of inflammation. </w:t>
      </w:r>
      <w:r>
        <w:rPr>
          <w:i w:val="1"/>
          <w:iCs w:val="1"/>
        </w:rPr>
        <w:t xml:space="preserve">British Journal of Pharmacology</w:t>
      </w:r>
      <w:r>
        <w:rPr/>
        <w:t xml:space="preserve">, </w:t>
      </w:r>
      <w:r>
        <w:rPr>
          <w:i w:val="1"/>
          <w:iCs w:val="1"/>
        </w:rPr>
        <w:t xml:space="preserve">182</w:t>
      </w:r>
      <w:r>
        <w:rPr/>
        <w:t xml:space="preserve"> (17), 3990-3993 ff. https://doi.org/10.1111/bph.70136</w:t>
      </w:r>
    </w:p>
    <w:p>
      <w:pPr>
        <w:spacing w:after="240" w:line="240" w:lineRule="atLeast"/>
      </w:pPr>
      <w:r>
        <w:rPr/>
        <w:t xml:space="preserve">Auch, A., Sieber, C., Lehnick, D., Hug, B. L., Auch, L., &amp; Sieber, C. (2025). Adverse drug events of immune checkpoint inhibitors - a retrospective, descriptive real-world data analysis. </w:t>
      </w:r>
      <w:r>
        <w:rPr>
          <w:i w:val="1"/>
          <w:iCs w:val="1"/>
        </w:rPr>
        <w:t xml:space="preserve">BMC Cancer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(1), 1303 ff. https://doi.org/10.1186/s12885-025-14733-5</w:t>
      </w:r>
    </w:p>
    <w:p>
      <w:pPr>
        <w:spacing w:after="240" w:line="240" w:lineRule="atLeast"/>
      </w:pPr>
      <w:r>
        <w:rPr/>
        <w:t xml:space="preserve">Hug, B. L. (2025). Cluster-randomized trial of checklist-guided shared decision-making for code status discussions: Patient Education and Counseling. </w:t>
      </w:r>
      <w:r>
        <w:rPr>
          <w:i w:val="1"/>
          <w:iCs w:val="1"/>
        </w:rPr>
        <w:t xml:space="preserve">Patient Educ Couns</w:t>
      </w:r>
      <w:r>
        <w:rPr/>
        <w:t xml:space="preserve">, </w:t>
      </w:r>
      <w:r>
        <w:rPr>
          <w:i w:val="1"/>
          <w:iCs w:val="1"/>
        </w:rPr>
        <w:t xml:space="preserve">137</w:t>
      </w:r>
      <w:r>
        <w:rPr/>
        <w:t xml:space="preserve">, 108952 ff.</w:t>
      </w:r>
    </w:p>
    <w:p>
      <w:pPr>
        <w:spacing w:after="240" w:line="240" w:lineRule="atLeast"/>
      </w:pPr>
      <w:r>
        <w:rPr/>
        <w:t xml:space="preserve">Schoenenberger, N., Beck, T., Laura, W., Hug, B. L., &amp; Meyer-Massetti, C. V. (2025). Development of a screening tool to flag older adults at a high risk of preventable medication‐related readmissions. </w:t>
      </w:r>
      <w:r>
        <w:rPr>
          <w:i w:val="1"/>
          <w:iCs w:val="1"/>
        </w:rPr>
        <w:t xml:space="preserve">JACCP: JOURNAL OF THE AMERICAN COLLEGE OF CLINICAL PHARMACY</w:t>
      </w:r>
      <w:r>
        <w:rPr/>
        <w:t xml:space="preserve">. https://doi.org/10.1002/jac5.70037</w:t>
      </w:r>
    </w:p>
    <w:p>
      <w:pPr>
        <w:spacing w:after="240" w:line="240" w:lineRule="atLeast"/>
      </w:pPr>
      <w:r>
        <w:rPr/>
        <w:t xml:space="preserve">Tinner, C., Pfister-Meyer, H., Sieber, C., Lehnick, D., &amp; Hug, B. L. (2025). Iron Deficiency in the Presence of Anemia and Inflammation—A Sex-Specific Cross-Sectional Study. </w:t>
      </w:r>
      <w:r>
        <w:rPr>
          <w:i w:val="1"/>
          <w:iCs w:val="1"/>
        </w:rPr>
        <w:t xml:space="preserve">European Journal of Haematology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153–164. https://doi.org/10.1111/ejh.14431</w:t>
      </w:r>
    </w:p>
    <w:p>
      <w:pPr>
        <w:spacing w:after="240" w:line="240" w:lineRule="atLeast"/>
      </w:pPr>
      <w:r>
        <w:rPr/>
        <w:t xml:space="preserve">Horn, A., Linke, A. D., Franklin-Ryan, A., Beeler, P., &amp; Hug, B. L. (2025). Patient Portal Registrations at a Swiss Tertiary Referral Hospital Over the Course of the COVID-19 Pandemic: Retrospective Data Analysis. </w:t>
      </w:r>
      <w:r>
        <w:rPr>
          <w:i w:val="1"/>
          <w:iCs w:val="1"/>
        </w:rPr>
        <w:t xml:space="preserve">Journal of Medical Internet Research</w:t>
      </w:r>
      <w:r>
        <w:rPr/>
        <w:t xml:space="preserve">. https://doi.org/10.2196/56961</w:t>
      </w:r>
    </w:p>
    <w:p>
      <w:pPr>
        <w:spacing w:after="240" w:line="240" w:lineRule="atLeast"/>
      </w:pPr>
      <w:r>
        <w:rPr/>
        <w:t xml:space="preserve">Schoenenberger, N., Beck, T., Laura, W., Hug, B. L., &amp; Meyer-Massetti, C. V. (2025). Preventable medication-related readmissions involving older adults: a retrospective cohort analysis. </w:t>
      </w:r>
      <w:r>
        <w:rPr>
          <w:i w:val="1"/>
          <w:iCs w:val="1"/>
        </w:rPr>
        <w:t xml:space="preserve">Swiss Medical Weekly</w:t>
      </w:r>
      <w:r>
        <w:rPr/>
        <w:t xml:space="preserve">. https://doi.org/10.57187/s.4259</w:t>
      </w:r>
    </w:p>
    <w:p>
      <w:pPr>
        <w:spacing w:after="240" w:line="240" w:lineRule="atLeast"/>
      </w:pPr>
      <w:r>
        <w:rPr/>
        <w:t xml:space="preserve">Käufeler, M., Beeler, P., Müller, L., Gemperli, A., Merlo, C. M., &amp; Hug, B. L. (2024). Hospitalists’ perception of their communication with primary care providers – survey results from six hospitals in Central Switzerland. </w:t>
      </w:r>
      <w:r>
        <w:rPr>
          <w:i w:val="1"/>
          <w:iCs w:val="1"/>
        </w:rPr>
        <w:t xml:space="preserve">Swiss Medical Weekly</w:t>
      </w:r>
      <w:r>
        <w:rPr/>
        <w:t xml:space="preserve">, </w:t>
      </w:r>
      <w:r>
        <w:rPr>
          <w:i w:val="1"/>
          <w:iCs w:val="1"/>
        </w:rPr>
        <w:t xml:space="preserve">154</w:t>
      </w:r>
      <w:r>
        <w:rPr/>
        <w:t xml:space="preserve"> (3643).</w:t>
      </w:r>
    </w:p>
    <w:p>
      <w:pPr>
        <w:spacing w:after="240" w:line="240" w:lineRule="atLeast"/>
      </w:pPr>
      <w:r>
        <w:rPr/>
        <w:t xml:space="preserve">Helene, M., &amp; Hug, B. L. (2024). Aerococcus urinae endocarditis – A case report. </w:t>
      </w:r>
      <w:r>
        <w:rPr>
          <w:i w:val="1"/>
          <w:iCs w:val="1"/>
        </w:rPr>
        <w:t xml:space="preserve">IDCases</w:t>
      </w:r>
      <w:r>
        <w:rPr/>
        <w:t xml:space="preserve">. https://doi.org/10.1016/j.idcr.2024.e02053</w:t>
      </w:r>
    </w:p>
    <w:p>
      <w:pPr>
        <w:spacing w:after="240" w:line="240" w:lineRule="atLeast"/>
      </w:pPr>
      <w:r>
        <w:rPr/>
        <w:t xml:space="preserve">Hug, B. L., Beeler, P., Tomaschek, R., Merlo, C. M., Müller, L., &amp; Grgicevic, K. (2024). Communication and Information Exchange Between Practices and Hospitals: a Survey Among Primary Care Practitioners in Central Switzerland. </w:t>
      </w:r>
      <w:r>
        <w:rPr>
          <w:i w:val="1"/>
          <w:iCs w:val="1"/>
        </w:rPr>
        <w:t xml:space="preserve">Swiss Medical Weekly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Lehnick, D., Hug, B. L., Furrer-Matcau, C. T., Brand, C., &amp; Sieber, C. (2024). Cutaneous adverse events due to checkpoint inhibitors – a retrospective analysis at a tertiary referral hospital in Switzerland 2019-2022: Forntiers in Oncology. </w:t>
      </w:r>
      <w:r>
        <w:rPr>
          <w:i w:val="1"/>
          <w:iCs w:val="1"/>
        </w:rPr>
        <w:t xml:space="preserve">Forntiers in Oncology</w:t>
      </w:r>
      <w:r>
        <w:rPr/>
        <w:t xml:space="preserve">. https://doi.org/10.3389/fonc.2024.1485594</w:t>
      </w:r>
    </w:p>
    <w:p>
      <w:pPr>
        <w:spacing w:after="240" w:line="240" w:lineRule="atLeast"/>
      </w:pPr>
      <w:r>
        <w:rPr/>
        <w:t xml:space="preserve">Schoenenberger, N., Anne-Laure, B., Hug, B. L., Manuel, H., Aljoscha, G., Ursina, W., &amp; Meyer-Massetti, C. V. (2024). Developing indicators for medication-related readmissions based on a Delphi consensus study. </w:t>
      </w:r>
      <w:r>
        <w:rPr>
          <w:i w:val="1"/>
          <w:iCs w:val="1"/>
        </w:rPr>
        <w:t xml:space="preserve">Research in Social and Administrative Pharmacy</w:t>
      </w:r>
      <w:r>
        <w:rPr/>
        <w:t xml:space="preserve">. https://doi.org/10.1016/j.sapharm.2024.02.012</w:t>
      </w:r>
    </w:p>
    <w:p>
      <w:pPr>
        <w:spacing w:after="240" w:line="240" w:lineRule="atLeast"/>
      </w:pPr>
      <w:r>
        <w:rPr/>
        <w:t xml:space="preserve">Hug, B. L., Beeler, P., Joseph, S., &amp; Tomaschek, R. (2024). Enhancing communication and care coordination: A scoping review of encounter notification systems between emergency departments and primary care providers: International Journal of Medical Informatics. </w:t>
      </w:r>
      <w:r>
        <w:rPr>
          <w:i w:val="1"/>
          <w:iCs w:val="1"/>
        </w:rPr>
        <w:t xml:space="preserve">International Journal of Medical Informatics</w:t>
      </w:r>
      <w:r>
        <w:rPr/>
        <w:t xml:space="preserve">. https://doi.org/10.1016/j.ijmedinf.2024.105579</w:t>
      </w:r>
    </w:p>
    <w:p>
      <w:pPr>
        <w:spacing w:after="240" w:line="240" w:lineRule="atLeast"/>
      </w:pPr>
      <w:r>
        <w:rPr/>
        <w:t xml:space="preserve">Vetter, L., Maurer, D., Zumstein-Shaha, M., Hug, B., &amp; Hug, B. L. (2024). Global Scope of Practice of an APN Anesthesia: A Scoping Review. </w:t>
      </w:r>
      <w:r>
        <w:rPr>
          <w:i w:val="1"/>
          <w:iCs w:val="1"/>
        </w:rPr>
        <w:t xml:space="preserve">Journal of PeriAnesthesia Nursing</w:t>
      </w:r>
      <w:r>
        <w:rPr/>
        <w:t xml:space="preserve">. https://doi.org/10.1016/j.jopan.2024.07.016</w:t>
      </w:r>
    </w:p>
    <w:p>
      <w:pPr>
        <w:spacing w:after="240" w:line="240" w:lineRule="atLeast"/>
      </w:pPr>
      <w:r>
        <w:rPr/>
        <w:t xml:space="preserve">Hurni, B., Müller, B., Hug, B. L., Beeler, P., &amp; Merlo, C. M. (2024). Palliative care inpatients in Switzerland (2012–2021): characteristics, in-hospital mortality and avoidable admissions. </w:t>
      </w:r>
      <w:r>
        <w:rPr>
          <w:i w:val="1"/>
          <w:iCs w:val="1"/>
        </w:rPr>
        <w:t xml:space="preserve">BMJ Supportive &amp; Palliative Care</w:t>
      </w:r>
      <w:r>
        <w:rPr/>
        <w:t xml:space="preserve">. https://doi.org/10.5281/zenodo.14499441</w:t>
      </w:r>
    </w:p>
    <w:p>
      <w:pPr>
        <w:spacing w:after="240" w:line="240" w:lineRule="atLeast"/>
      </w:pPr>
      <w:r>
        <w:rPr/>
        <w:t xml:space="preserve">Kramer, P., &amp; Hug, B. L. (2023). Ein vermeintliches schweres psychosomatisches Krankheitsbild –Fallbeschreibung einer Patientin mit Creutzfeld-Jakob-Krankheit. </w:t>
      </w:r>
      <w:r>
        <w:rPr>
          <w:i w:val="1"/>
          <w:iCs w:val="1"/>
        </w:rPr>
        <w:t xml:space="preserve">Swiss Med Forum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 (26), 1170–1171.</w:t>
      </w:r>
    </w:p>
    <w:p>
      <w:pPr>
        <w:spacing w:after="240" w:line="240" w:lineRule="atLeast"/>
      </w:pPr>
      <w:r>
        <w:rPr/>
        <w:t xml:space="preserve">Wertli, M., &amp; Hug, B. L. (2023). Wie Qualitätsindikatoren umgesetzt werden können. </w:t>
      </w:r>
      <w:r>
        <w:rPr>
          <w:i w:val="1"/>
          <w:iCs w:val="1"/>
        </w:rPr>
        <w:t xml:space="preserve">Prim Hosp Care Allg Inn Med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 (12), 355–356.</w:t>
      </w:r>
    </w:p>
    <w:p>
      <w:pPr>
        <w:spacing w:after="240" w:line="240" w:lineRule="atLeast"/>
      </w:pPr>
      <w:r>
        <w:rPr/>
        <w:t xml:space="preserve">Chong Tafur, I., Jansen, D., &amp; Hug, B. L. (2023). Prevalence and characteristics of post COVID-19 condition five months after SARS-COV-2 infection in inpatients and outpatients. </w:t>
      </w:r>
      <w:r>
        <w:rPr>
          <w:i w:val="1"/>
          <w:iCs w:val="1"/>
        </w:rPr>
        <w:t xml:space="preserve">European Journal of Internal Medicine</w:t>
      </w:r>
      <w:r>
        <w:rPr/>
        <w:t xml:space="preserve">. https://doi.org/10.1016/j.ejim.2023.07.002</w:t>
      </w:r>
    </w:p>
    <w:p>
      <w:pPr>
        <w:spacing w:after="240" w:line="240" w:lineRule="atLeast"/>
      </w:pPr>
      <w:r>
        <w:rPr/>
        <w:t xml:space="preserve">Koch, J. J., Beeler, P., Havranek, M., &amp; Hug, B. L. (2023). The Importance of Hospital Readmission Predictors across Various Patient Populations: An Umbrella Review and Synthesis across 440 Studies. </w:t>
      </w:r>
      <w:r>
        <w:rPr>
          <w:i w:val="1"/>
          <w:iCs w:val="1"/>
        </w:rPr>
        <w:t xml:space="preserve">Journal of Clinical Epidemiology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Schurter, T., von Escher, H., Gachoud, D., Bednarski, P., Hug, B. L., Kropf, R., … Huwendiek, S. (2022). Essential steps in the development, implementation, evaluation and quality assurance of the written part of the Swiss federal licensing examination for human medicine. </w:t>
      </w:r>
      <w:r>
        <w:rPr>
          <w:i w:val="1"/>
          <w:iCs w:val="1"/>
        </w:rPr>
        <w:t xml:space="preserve">GMS Journal for Medical Education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Branca-Dragan, S., Emiliantseva Koller, E., Danuser, B., Kunz, A., Steiger, J., Huguenin, C., &amp; Hug, B. L. (2021). Evolution of disability pension after renal transplantation: methods and results of a database linkage study of the Swiss Transplant Cohort Study and Swiss Disability Insurance: Swiss Med Wkly. </w:t>
      </w:r>
      <w:r>
        <w:rPr>
          <w:i w:val="1"/>
          <w:iCs w:val="1"/>
        </w:rPr>
        <w:t xml:space="preserve">Swiss Med Wkly</w:t>
      </w:r>
      <w:r>
        <w:rPr/>
        <w:t xml:space="preserve">, </w:t>
      </w:r>
      <w:r>
        <w:rPr>
          <w:i w:val="1"/>
          <w:iCs w:val="1"/>
        </w:rPr>
        <w:t xml:space="preserve">151</w:t>
      </w:r>
      <w:r>
        <w:rPr/>
        <w:t xml:space="preserve">. https://doi.org/10.4414/smw.2021.w30027</w:t>
      </w:r>
    </w:p>
    <w:p>
      <w:pPr>
        <w:spacing w:after="240" w:line="240" w:lineRule="atLeast"/>
      </w:pPr>
      <w:r>
        <w:rPr/>
        <w:t xml:space="preserve">Sutter-Somm, T., Jansen, D., Chin-Cheong, K., Hug, B. L., &amp; Vogt, J. (2020). A comparison of general and disease-specific machine learning models for the prediction of unplanned hospital readmissions. </w:t>
      </w:r>
      <w:r>
        <w:rPr>
          <w:i w:val="1"/>
          <w:iCs w:val="1"/>
        </w:rPr>
        <w:t xml:space="preserve">Journal of the American Medical Informatics Association</w:t>
      </w:r>
      <w:r>
        <w:rPr/>
        <w:t xml:space="preserve">. https://doi.org/10.1093/jamia/ocaa299</w:t>
      </w:r>
    </w:p>
    <w:p>
      <w:pPr>
        <w:spacing w:after="240" w:line="240" w:lineRule="atLeast"/>
      </w:pPr>
      <w:r>
        <w:rPr/>
        <w:t xml:space="preserve">Jan, R., Thomas, S., Simon, N., Eleonore, K.-P., Martin, G., Widmer, A., … Damian, S. (2019). Medical diagnoses showed low relatedness in an explorative mutual information analysis of 190,837 inpatient cases. </w:t>
      </w:r>
      <w:r>
        <w:rPr>
          <w:i w:val="1"/>
          <w:iCs w:val="1"/>
        </w:rPr>
        <w:t xml:space="preserve">Journal of Clinical Epidemiology</w:t>
      </w:r>
      <w:r>
        <w:rPr/>
        <w:t xml:space="preserve">. https://doi.org/10.1016/j.jclinepi.2019.01.003</w:t>
      </w:r>
    </w:p>
    <w:p>
      <w:pPr>
        <w:spacing w:after="240" w:line="240" w:lineRule="atLeast"/>
      </w:pPr>
      <w:r>
        <w:rPr/>
        <w:t xml:space="preserve">Jan, R., Nicole, G., Thomas, S., Simon, N., Eleonore, K.-P., Martin, G., … Damian, S. (2018). Secondary use of routine data in hospitals: description of a scalable analytical platform based on a business intelligence system. </w:t>
      </w:r>
      <w:r>
        <w:rPr>
          <w:i w:val="1"/>
          <w:iCs w:val="1"/>
        </w:rPr>
        <w:t xml:space="preserve">JAMIA Open; JAMIA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(2). https://doi.org/10.1093/jamiaopen/ooy039</w:t>
      </w:r>
    </w:p>
    <w:p>
      <w:pPr>
        <w:spacing w:after="240" w:line="240" w:lineRule="atLeast"/>
      </w:pPr>
      <w:r>
        <w:rPr/>
        <w:t xml:space="preserve">Juchler, F., Roth, J., Schweiger, A., Dangel, M., Gugliotta, M., Battegay, M., … Widmer, A. (2018). Costs versus earnings in colon surgery and coronary artery bypass grafting under a prospective payment system: Sufficient financial incentives to reduce surgical site infections? </w:t>
      </w:r>
      <w:r>
        <w:rPr>
          <w:i w:val="1"/>
          <w:iCs w:val="1"/>
        </w:rPr>
        <w:t xml:space="preserve">Infection Control &amp; Hospital Epidemiology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 (10). https://doi.org/10.1017/ice.2018.179</w:t>
      </w:r>
    </w:p>
    <w:p>
      <w:pPr>
        <w:spacing w:after="240" w:line="240" w:lineRule="atLeast"/>
      </w:pPr>
      <w:r>
        <w:rPr/>
        <w:t xml:space="preserve">Roth, J., Kluytmans, J., Widmer, A., Tschudin-Sutter, S., Dangel, M., Frey, R., … Hug, B. L. (2017). The Model for End-stage Liver Disease (MELD) as a predictor of short-term mortality in Staphylococcus aureus bloodstream infection: A single-centre observational study. </w:t>
      </w:r>
      <w:r>
        <w:rPr>
          <w:i w:val="1"/>
          <w:iCs w:val="1"/>
        </w:rPr>
        <w:t xml:space="preserve">PLOS ONE; PLOS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(4). https://doi.org/10.1371/journal.pone.0175669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Wertli, M., Hug, B. L., &amp; et, al. (2025). Digitale Tools zur Unterstützung des Qualitätsmanagements. In Wertli, Maria (Hrsg) (Ed.), </w:t>
      </w:r>
      <w:r>
        <w:rPr>
          <w:i w:val="1"/>
          <w:iCs w:val="1"/>
        </w:rPr>
        <w:t xml:space="preserve">Qualität ist kein Zufall. Weissbuch Qualität Allgemeine Innere Medizin: Digitale Tools zur Unterstützung des Qualitätsmanagements</w:t>
      </w:r>
      <w:r>
        <w:rPr/>
        <w:t xml:space="preserve">. Bern: Hogrefe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Stierli, B., Stawiski, P., Christ, M., Linder, E., &amp; Hug, B. L. (11 May 2023). </w:t>
      </w:r>
      <w:r>
        <w:rPr>
          <w:i w:val="1"/>
          <w:iCs w:val="1"/>
        </w:rPr>
        <w:t xml:space="preserve">Agreement and changes between emergency department diagnoses and hospital discharge diagnoses. A retrospective case study in a Swiss tertiary referral hospital (Cantonal Hospital of Lucerne)</w:t>
      </w:r>
      <w:r>
        <w:rPr/>
        <w:t xml:space="preserve">. Presented at the SGAIM Frühjahrskongress, Basel.</w:t>
      </w:r>
    </w:p>
    <w:p>
      <w:pPr>
        <w:spacing w:after="240" w:line="240" w:lineRule="atLeast"/>
      </w:pPr>
      <w:r>
        <w:rPr/>
        <w:t xml:space="preserve">Vanina, F., &amp; Hug, B. L. (2023). </w:t>
      </w:r>
      <w:r>
        <w:rPr>
          <w:i w:val="1"/>
          <w:iCs w:val="1"/>
        </w:rPr>
        <w:t xml:space="preserve">A case-series analysis of tuberculosis in patients treated in a Swiss tertiary-level hospital</w:t>
      </w:r>
      <w:r>
        <w:rPr/>
        <w:t xml:space="preserve">. Presented at the SGAIM Frühjahrskongress, Basel.</w:t>
      </w:r>
    </w:p>
    <w:p>
      <w:pPr>
        <w:spacing w:after="240" w:line="240" w:lineRule="atLeast"/>
      </w:pPr>
      <w:r>
        <w:rPr/>
        <w:t xml:space="preserve">Matcau, C. T., Brand, C., &amp; Hug, B. L. (2023). </w:t>
      </w:r>
      <w:r>
        <w:rPr>
          <w:i w:val="1"/>
          <w:iCs w:val="1"/>
        </w:rPr>
        <w:t xml:space="preserve">Cutaneous adverse events due to Checkpoint Inhibitors – A single, retrospective analysis at the Lucerne Cantonal Hospital</w:t>
      </w:r>
      <w:r>
        <w:rPr/>
        <w:t xml:space="preserve">. Presented at the SGAIM Frühjahrskongress, Basel.</w:t>
      </w:r>
    </w:p>
    <w:p>
      <w:pPr>
        <w:spacing w:after="240" w:line="240" w:lineRule="atLeast"/>
      </w:pPr>
      <w:r>
        <w:rPr/>
        <w:t xml:space="preserve">Borges Volfzon, A., Treis, A., Havranek, M., &amp; Hug, B. L. (2023). </w:t>
      </w:r>
      <w:r>
        <w:rPr>
          <w:i w:val="1"/>
          <w:iCs w:val="1"/>
        </w:rPr>
        <w:t xml:space="preserve">Facilitating the use of clinical data for research: building a data dictionary at a university-affiliated tertiary hospital in Switzerland</w:t>
      </w:r>
      <w:r>
        <w:rPr/>
        <w:t xml:space="preserve">. Presented at the SGAIM Frühjahrskongress.</w:t>
      </w:r>
    </w:p>
    <w:p>
      <w:pPr>
        <w:spacing w:after="240" w:line="240" w:lineRule="atLeast"/>
      </w:pPr>
      <w:r>
        <w:rPr/>
        <w:t xml:space="preserve">Glatt, I., Aregger, R., &amp; Hug, B. L. (2023). </w:t>
      </w:r>
      <w:r>
        <w:rPr>
          <w:i w:val="1"/>
          <w:iCs w:val="1"/>
        </w:rPr>
        <w:t xml:space="preserve">Geographical variation of common illnesses in Central Switzerland – A retrospective cohort study of the relative risk for pneumonia in the Canton of Lucerne</w:t>
      </w:r>
      <w:r>
        <w:rPr/>
        <w:t xml:space="preserve">. Presented at the SGAIM Frühjahrskongress, Basel.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Balthasar Luzius Hug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Balthasar Luzius Hug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